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61EE9A">
      <w:pPr>
        <w:pStyle w:val="21"/>
        <w:keepNext w:val="0"/>
        <w:keepLines w:val="0"/>
        <w:pageBreakBefore w:val="0"/>
        <w:widowControl w:val="0"/>
        <w:shd w:val="clear"/>
        <w:kinsoku/>
        <w:wordWrap/>
        <w:overflowPunct/>
        <w:topLinePunct w:val="0"/>
        <w:autoSpaceDE/>
        <w:autoSpaceDN/>
        <w:bidi w:val="0"/>
        <w:adjustRightInd/>
        <w:snapToGrid/>
        <w:spacing w:after="157" w:afterLines="50" w:line="360" w:lineRule="auto"/>
        <w:ind w:right="120" w:rightChars="50" w:firstLine="482"/>
        <w:jc w:val="center"/>
        <w:textAlignment w:val="auto"/>
        <w:rPr>
          <w:rFonts w:ascii="宋体" w:hAnsi="宋体" w:eastAsia="宋体" w:cs="宋体"/>
          <w:b/>
          <w:color w:val="000000" w:themeColor="text1"/>
          <w:sz w:val="30"/>
          <w:szCs w:val="30"/>
          <w:highlight w:val="none"/>
          <w:lang w:val="zh-TW"/>
          <w14:textFill>
            <w14:solidFill>
              <w14:schemeClr w14:val="tx1"/>
            </w14:solidFill>
          </w14:textFill>
        </w:rPr>
      </w:pPr>
      <w:r>
        <w:rPr>
          <w:rFonts w:ascii="宋体" w:hAnsi="宋体" w:eastAsia="宋体" w:cs="宋体"/>
          <w:b/>
          <w:color w:val="000000" w:themeColor="text1"/>
          <w:sz w:val="30"/>
          <w:szCs w:val="30"/>
          <w:highlight w:val="none"/>
          <w:lang w:val="zh-TW" w:eastAsia="zh-TW"/>
          <w14:textFill>
            <w14:solidFill>
              <w14:schemeClr w14:val="tx1"/>
            </w14:solidFill>
          </w14:textFill>
        </w:rPr>
        <w:t>昆山市轨道交通投资发展有限公司</w:t>
      </w:r>
      <w:r>
        <w:rPr>
          <w:rFonts w:hint="eastAsia" w:ascii="宋体" w:hAnsi="宋体" w:eastAsia="宋体" w:cs="宋体"/>
          <w:b/>
          <w:color w:val="000000" w:themeColor="text1"/>
          <w:sz w:val="30"/>
          <w:szCs w:val="30"/>
          <w:highlight w:val="none"/>
          <w:lang w:val="zh-TW"/>
          <w14:textFill>
            <w14:solidFill>
              <w14:schemeClr w14:val="tx1"/>
            </w14:solidFill>
          </w14:textFill>
        </w:rPr>
        <w:t>关于轨道交通11号线花桥段车站安检及特勤服务项目的公开招标公告</w:t>
      </w:r>
    </w:p>
    <w:p w14:paraId="37A56575">
      <w:pPr>
        <w:keepNext w:val="0"/>
        <w:keepLines w:val="0"/>
        <w:pageBreakBefore w:val="0"/>
        <w:widowControl/>
        <w:shd w:val="clear"/>
        <w:kinsoku/>
        <w:wordWrap/>
        <w:topLinePunct w:val="0"/>
        <w:autoSpaceDE/>
        <w:autoSpaceDN/>
        <w:bidi w:val="0"/>
        <w:snapToGrid/>
        <w:spacing w:line="240" w:lineRule="auto"/>
        <w:ind w:firstLine="480" w:firstLineChars="200"/>
        <w:textAlignment w:val="auto"/>
        <w:rPr>
          <w:rFonts w:hint="eastAsia" w:asciiTheme="majorEastAsia" w:hAnsiTheme="majorEastAsia" w:eastAsiaTheme="majorEastAsia" w:cstheme="majorEastAsia"/>
          <w:sz w:val="24"/>
          <w:szCs w:val="24"/>
          <w:highlight w:val="none"/>
        </w:rPr>
      </w:pPr>
      <w:bookmarkStart w:id="0" w:name="OLE_LINK1"/>
      <w:r>
        <w:rPr>
          <w:rFonts w:hint="eastAsia" w:asciiTheme="majorEastAsia" w:hAnsiTheme="majorEastAsia" w:eastAsiaTheme="majorEastAsia" w:cstheme="majorEastAsia"/>
          <w:sz w:val="24"/>
          <w:szCs w:val="24"/>
          <w:highlight w:val="none"/>
        </w:rPr>
        <w:t>受昆山市轨道交通投资发展有限公司委托，北京市建壮咨询有限公司对其所需采购的轨道交通11号线花桥段车站安检及特勤服务项目进行国内公开招标，欢迎符合资格要求的投标人前来参加投标。</w:t>
      </w:r>
    </w:p>
    <w:p w14:paraId="67F6CEDB">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一、招标项目编号：</w:t>
      </w:r>
      <w:r>
        <w:rPr>
          <w:rFonts w:hint="eastAsia" w:asciiTheme="majorEastAsia" w:hAnsiTheme="majorEastAsia" w:eastAsiaTheme="majorEastAsia" w:cstheme="majorEastAsia"/>
          <w:bCs/>
          <w:sz w:val="24"/>
          <w:szCs w:val="24"/>
          <w:highlight w:val="none"/>
        </w:rPr>
        <w:t>BJJZ2025-QG-01</w:t>
      </w:r>
    </w:p>
    <w:p w14:paraId="2152DC3A">
      <w:pPr>
        <w:keepNext w:val="0"/>
        <w:keepLines w:val="0"/>
        <w:pageBreakBefore w:val="0"/>
        <w:widowControl/>
        <w:shd w:val="clear"/>
        <w:kinsoku/>
        <w:wordWrap/>
        <w:topLinePunct w:val="0"/>
        <w:autoSpaceDE/>
        <w:autoSpaceDN/>
        <w:bidi w:val="0"/>
        <w:snapToGrid/>
        <w:spacing w:line="240" w:lineRule="auto"/>
        <w:ind w:firstLine="480" w:firstLineChars="200"/>
        <w:textAlignment w:val="auto"/>
        <w:rPr>
          <w:rFonts w:hint="eastAsia" w:asciiTheme="majorEastAsia" w:hAnsiTheme="majorEastAsia" w:eastAsiaTheme="majorEastAsia" w:cstheme="majorEastAsia"/>
          <w:bCs/>
          <w:kern w:val="0"/>
          <w:sz w:val="24"/>
          <w:szCs w:val="24"/>
          <w:highlight w:val="none"/>
          <w:lang w:bidi="ar"/>
        </w:rPr>
      </w:pPr>
      <w:r>
        <w:rPr>
          <w:rFonts w:hint="eastAsia" w:asciiTheme="majorEastAsia" w:hAnsiTheme="majorEastAsia" w:eastAsiaTheme="majorEastAsia" w:cstheme="majorEastAsia"/>
          <w:bCs/>
          <w:sz w:val="24"/>
          <w:szCs w:val="24"/>
          <w:highlight w:val="none"/>
        </w:rPr>
        <w:t>二、招标内容：</w:t>
      </w:r>
      <w:bookmarkStart w:id="1" w:name="OLE_LINK2"/>
      <w:r>
        <w:rPr>
          <w:rFonts w:hint="eastAsia" w:asciiTheme="majorEastAsia" w:hAnsiTheme="majorEastAsia" w:eastAsiaTheme="majorEastAsia" w:cstheme="majorEastAsia"/>
          <w:bCs/>
          <w:kern w:val="0"/>
          <w:sz w:val="24"/>
          <w:szCs w:val="24"/>
          <w:highlight w:val="none"/>
          <w:lang w:bidi="ar"/>
        </w:rPr>
        <w:t>轨道交通11号线花桥段车站安检及特勤服务，具体详见招标书。</w:t>
      </w:r>
    </w:p>
    <w:p w14:paraId="157C47DA">
      <w:pPr>
        <w:keepNext w:val="0"/>
        <w:keepLines w:val="0"/>
        <w:pageBreakBefore w:val="0"/>
        <w:widowControl/>
        <w:shd w:val="clear"/>
        <w:kinsoku/>
        <w:wordWrap/>
        <w:topLinePunct w:val="0"/>
        <w:autoSpaceDE/>
        <w:autoSpaceDN/>
        <w:bidi w:val="0"/>
        <w:snapToGrid/>
        <w:spacing w:line="240" w:lineRule="auto"/>
        <w:ind w:firstLine="480" w:firstLineChars="200"/>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三、</w:t>
      </w:r>
      <w:bookmarkEnd w:id="1"/>
      <w:r>
        <w:rPr>
          <w:rFonts w:hint="eastAsia" w:asciiTheme="majorEastAsia" w:hAnsiTheme="majorEastAsia" w:eastAsiaTheme="majorEastAsia" w:cstheme="majorEastAsia"/>
          <w:bCs/>
          <w:sz w:val="24"/>
          <w:szCs w:val="24"/>
          <w:highlight w:val="none"/>
        </w:rPr>
        <w:t>服务期：</w:t>
      </w:r>
      <w:r>
        <w:rPr>
          <w:rFonts w:hint="eastAsia" w:asciiTheme="majorEastAsia" w:hAnsiTheme="majorEastAsia" w:eastAsiaTheme="majorEastAsia" w:cstheme="majorEastAsia"/>
          <w:sz w:val="24"/>
          <w:szCs w:val="24"/>
          <w:highlight w:val="none"/>
        </w:rPr>
        <w:t>自</w:t>
      </w:r>
      <w:r>
        <w:rPr>
          <w:rFonts w:hint="eastAsia" w:asciiTheme="majorEastAsia" w:hAnsiTheme="majorEastAsia" w:eastAsiaTheme="majorEastAsia" w:cstheme="majorEastAsia"/>
          <w:sz w:val="24"/>
          <w:szCs w:val="24"/>
          <w:highlight w:val="none"/>
          <w:u w:val="dash"/>
        </w:rPr>
        <w:t xml:space="preserve"> 2026 </w:t>
      </w:r>
      <w:r>
        <w:rPr>
          <w:rFonts w:hint="eastAsia" w:asciiTheme="majorEastAsia" w:hAnsiTheme="majorEastAsia" w:eastAsiaTheme="majorEastAsia" w:cstheme="majorEastAsia"/>
          <w:sz w:val="24"/>
          <w:szCs w:val="24"/>
          <w:highlight w:val="none"/>
        </w:rPr>
        <w:t>年</w:t>
      </w:r>
      <w:r>
        <w:rPr>
          <w:rFonts w:hint="eastAsia" w:asciiTheme="majorEastAsia" w:hAnsiTheme="majorEastAsia" w:eastAsiaTheme="majorEastAsia" w:cstheme="majorEastAsia"/>
          <w:sz w:val="24"/>
          <w:szCs w:val="24"/>
          <w:highlight w:val="none"/>
          <w:u w:val="dash"/>
        </w:rPr>
        <w:t xml:space="preserve"> 2 </w:t>
      </w:r>
      <w:r>
        <w:rPr>
          <w:rFonts w:hint="eastAsia" w:asciiTheme="majorEastAsia" w:hAnsiTheme="majorEastAsia" w:eastAsiaTheme="majorEastAsia" w:cstheme="majorEastAsia"/>
          <w:sz w:val="24"/>
          <w:szCs w:val="24"/>
          <w:highlight w:val="none"/>
        </w:rPr>
        <w:t>月</w:t>
      </w:r>
      <w:r>
        <w:rPr>
          <w:rFonts w:hint="eastAsia" w:asciiTheme="majorEastAsia" w:hAnsiTheme="majorEastAsia" w:eastAsiaTheme="majorEastAsia" w:cstheme="majorEastAsia"/>
          <w:sz w:val="24"/>
          <w:szCs w:val="24"/>
          <w:highlight w:val="none"/>
          <w:u w:val="dash"/>
        </w:rPr>
        <w:t xml:space="preserve"> 12 </w:t>
      </w:r>
      <w:r>
        <w:rPr>
          <w:rFonts w:hint="eastAsia" w:asciiTheme="majorEastAsia" w:hAnsiTheme="majorEastAsia" w:eastAsiaTheme="majorEastAsia" w:cstheme="majorEastAsia"/>
          <w:sz w:val="24"/>
          <w:szCs w:val="24"/>
          <w:highlight w:val="none"/>
        </w:rPr>
        <w:t>日起至</w:t>
      </w:r>
      <w:r>
        <w:rPr>
          <w:rFonts w:hint="eastAsia" w:asciiTheme="majorEastAsia" w:hAnsiTheme="majorEastAsia" w:eastAsiaTheme="majorEastAsia" w:cstheme="majorEastAsia"/>
          <w:sz w:val="24"/>
          <w:szCs w:val="24"/>
          <w:highlight w:val="none"/>
          <w:u w:val="dash"/>
        </w:rPr>
        <w:t xml:space="preserve"> 2027 </w:t>
      </w:r>
      <w:r>
        <w:rPr>
          <w:rFonts w:hint="eastAsia" w:asciiTheme="majorEastAsia" w:hAnsiTheme="majorEastAsia" w:eastAsiaTheme="majorEastAsia" w:cstheme="majorEastAsia"/>
          <w:sz w:val="24"/>
          <w:szCs w:val="24"/>
          <w:highlight w:val="none"/>
        </w:rPr>
        <w:t>年</w:t>
      </w:r>
      <w:r>
        <w:rPr>
          <w:rFonts w:hint="eastAsia" w:asciiTheme="majorEastAsia" w:hAnsiTheme="majorEastAsia" w:eastAsiaTheme="majorEastAsia" w:cstheme="majorEastAsia"/>
          <w:sz w:val="24"/>
          <w:szCs w:val="24"/>
          <w:highlight w:val="none"/>
          <w:u w:val="dash"/>
        </w:rPr>
        <w:t xml:space="preserve"> 12 </w:t>
      </w:r>
      <w:r>
        <w:rPr>
          <w:rFonts w:hint="eastAsia" w:asciiTheme="majorEastAsia" w:hAnsiTheme="majorEastAsia" w:eastAsiaTheme="majorEastAsia" w:cstheme="majorEastAsia"/>
          <w:sz w:val="24"/>
          <w:szCs w:val="24"/>
          <w:highlight w:val="none"/>
        </w:rPr>
        <w:t>月</w:t>
      </w:r>
      <w:r>
        <w:rPr>
          <w:rFonts w:hint="eastAsia" w:asciiTheme="majorEastAsia" w:hAnsiTheme="majorEastAsia" w:eastAsiaTheme="majorEastAsia" w:cstheme="majorEastAsia"/>
          <w:sz w:val="24"/>
          <w:szCs w:val="24"/>
          <w:highlight w:val="none"/>
          <w:u w:val="dash"/>
        </w:rPr>
        <w:t xml:space="preserve"> 31 </w:t>
      </w:r>
      <w:r>
        <w:rPr>
          <w:rFonts w:hint="eastAsia" w:asciiTheme="majorEastAsia" w:hAnsiTheme="majorEastAsia" w:eastAsiaTheme="majorEastAsia" w:cstheme="majorEastAsia"/>
          <w:sz w:val="24"/>
          <w:szCs w:val="24"/>
          <w:highlight w:val="none"/>
        </w:rPr>
        <w:t>日止</w:t>
      </w:r>
      <w:r>
        <w:rPr>
          <w:rFonts w:hint="eastAsia" w:asciiTheme="majorEastAsia" w:hAnsiTheme="majorEastAsia" w:eastAsiaTheme="majorEastAsia" w:cstheme="majorEastAsia"/>
          <w:bCs/>
          <w:sz w:val="24"/>
          <w:szCs w:val="24"/>
          <w:highlight w:val="none"/>
        </w:rPr>
        <w:t>。</w:t>
      </w:r>
    </w:p>
    <w:p w14:paraId="03B285A3">
      <w:pPr>
        <w:keepNext w:val="0"/>
        <w:keepLines w:val="0"/>
        <w:pageBreakBefore w:val="0"/>
        <w:widowControl/>
        <w:shd w:val="clear"/>
        <w:kinsoku/>
        <w:wordWrap/>
        <w:topLinePunct w:val="0"/>
        <w:autoSpaceDE/>
        <w:autoSpaceDN/>
        <w:bidi w:val="0"/>
        <w:snapToGrid/>
        <w:spacing w:line="240" w:lineRule="auto"/>
        <w:ind w:firstLine="480" w:firstLineChars="200"/>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四、投标人资格要求</w:t>
      </w:r>
    </w:p>
    <w:p w14:paraId="25FF701B">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1.符合投标人资格要求</w:t>
      </w:r>
    </w:p>
    <w:p w14:paraId="44035B14">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1）具有独立承担民事责任的能力；（提供法人或者其他组织的营业执照等证明文件、自然人身份证明）</w:t>
      </w:r>
    </w:p>
    <w:p w14:paraId="5F26A797">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2）具有良好的商业信誉和健全的财务会计制度；（提供最近一期的财务报告，其他组织、自然人及成立未满一年的法人可提供银行出具的资信证明）</w:t>
      </w:r>
    </w:p>
    <w:p w14:paraId="080F7DE5">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3）具有履行合同所必需的设备和专业技术能力；（提供设备和技术能力证明材料）</w:t>
      </w:r>
    </w:p>
    <w:p w14:paraId="75DA05E1">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4）有依法缴纳税收和社会保障资金的良好记录；（提供参加本次采购活动前依法缴纳税收和社会保障资金的相关材料）</w:t>
      </w:r>
    </w:p>
    <w:p w14:paraId="4DAAFC6B">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5）参加采购活动前三年内，在经营活动中没有重大违法记录；（提供承诺书，格式自拟）</w:t>
      </w:r>
    </w:p>
    <w:p w14:paraId="1941B166">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6）投标人具有公安部门颁发的保安服务许可证；</w:t>
      </w:r>
    </w:p>
    <w:p w14:paraId="5DAD03DB">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7）非法人到场报名的，须提供法人授权委托书原件、法人身份证复印件、被授权委托人身份证复印件。</w:t>
      </w:r>
    </w:p>
    <w:p w14:paraId="4716E36C">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2.资格审查</w:t>
      </w:r>
    </w:p>
    <w:p w14:paraId="6FD90CD2">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本项目采用资格预审，投标单位在购买标书时须向招标代理机构提供以上资格预审条件的证明材料装订成册并加盖公章，</w:t>
      </w:r>
      <w:r>
        <w:rPr>
          <w:rFonts w:hint="eastAsia" w:asciiTheme="majorEastAsia" w:hAnsiTheme="majorEastAsia" w:eastAsiaTheme="majorEastAsia" w:cstheme="majorEastAsia"/>
          <w:b/>
          <w:color w:val="auto"/>
          <w:sz w:val="24"/>
          <w:szCs w:val="24"/>
          <w:highlight w:val="none"/>
        </w:rPr>
        <w:t>一式贰份</w:t>
      </w:r>
      <w:r>
        <w:rPr>
          <w:rFonts w:hint="eastAsia" w:asciiTheme="majorEastAsia" w:hAnsiTheme="majorEastAsia" w:eastAsiaTheme="majorEastAsia" w:cstheme="majorEastAsia"/>
          <w:color w:val="auto"/>
          <w:sz w:val="24"/>
          <w:szCs w:val="24"/>
          <w:highlight w:val="none"/>
        </w:rPr>
        <w:t>，原件带到招标代理机构审查后退还，</w:t>
      </w:r>
      <w:r>
        <w:rPr>
          <w:rFonts w:hint="eastAsia" w:asciiTheme="majorEastAsia" w:hAnsiTheme="majorEastAsia" w:eastAsiaTheme="majorEastAsia" w:cstheme="majorEastAsia"/>
          <w:b/>
          <w:color w:val="auto"/>
          <w:sz w:val="24"/>
          <w:szCs w:val="24"/>
          <w:highlight w:val="none"/>
        </w:rPr>
        <w:t>以原件为准</w:t>
      </w:r>
      <w:r>
        <w:rPr>
          <w:rFonts w:hint="eastAsia" w:asciiTheme="majorEastAsia" w:hAnsiTheme="majorEastAsia" w:eastAsiaTheme="majorEastAsia" w:cstheme="majorEastAsia"/>
          <w:color w:val="auto"/>
          <w:sz w:val="24"/>
          <w:szCs w:val="24"/>
          <w:highlight w:val="none"/>
        </w:rPr>
        <w:t>。只有通过资格预审的投标单位方可以报名购买招标文件，如有伪造或虚报，则招标代理机构有权取消该单位的报名资格。</w:t>
      </w:r>
    </w:p>
    <w:p w14:paraId="16787399">
      <w:pPr>
        <w:pStyle w:val="8"/>
        <w:keepNext w:val="0"/>
        <w:keepLines w:val="0"/>
        <w:pageBreakBefore w:val="0"/>
        <w:widowControl/>
        <w:shd w:val="clear"/>
        <w:kinsoku/>
        <w:wordWrap/>
        <w:topLinePunct w:val="0"/>
        <w:autoSpaceDE/>
        <w:autoSpaceDN/>
        <w:bidi w:val="0"/>
        <w:snapToGrid/>
        <w:spacing w:before="0" w:beforeAutospacing="0" w:after="0" w:afterAutospacing="0" w:line="24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3.本次招标不接受联合体投标。</w:t>
      </w:r>
    </w:p>
    <w:p w14:paraId="7AE6760C">
      <w:pPr>
        <w:pStyle w:val="2"/>
        <w:keepNext w:val="0"/>
        <w:keepLines w:val="0"/>
        <w:pageBreakBefore w:val="0"/>
        <w:widowControl/>
        <w:shd w:val="clear"/>
        <w:kinsoku/>
        <w:wordWrap/>
        <w:overflowPunct w:val="0"/>
        <w:topLinePunct w:val="0"/>
        <w:autoSpaceDE/>
        <w:autoSpaceDN/>
        <w:bidi w:val="0"/>
        <w:snapToGrid/>
        <w:spacing w:line="240" w:lineRule="auto"/>
        <w:ind w:firstLine="482" w:firstLineChars="200"/>
        <w:jc w:val="both"/>
        <w:textAlignment w:val="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bCs/>
          <w:sz w:val="24"/>
          <w:szCs w:val="24"/>
          <w:highlight w:val="none"/>
        </w:rPr>
        <w:t>注：投标单位要充分考虑知识产权问题，应保证采购单位免除且承担由于投标单位在其本国使用该项目所需的材料和设计或其任何一部分时而引起第三方提出的侵犯专利权、商标权或工业设计权的起诉、行动、行政程序索赔、请求等，以及采购单位为此而产生的损失和损害、费用和支出（包括律师费）。</w:t>
      </w:r>
    </w:p>
    <w:p w14:paraId="5CB9A958">
      <w:pPr>
        <w:pStyle w:val="2"/>
        <w:keepNext w:val="0"/>
        <w:keepLines w:val="0"/>
        <w:pageBreakBefore w:val="0"/>
        <w:widowControl/>
        <w:shd w:val="clear"/>
        <w:kinsoku/>
        <w:wordWrap/>
        <w:overflowPunct w:val="0"/>
        <w:topLinePunct w:val="0"/>
        <w:autoSpaceDE/>
        <w:autoSpaceDN/>
        <w:bidi w:val="0"/>
        <w:snapToGrid/>
        <w:spacing w:line="240" w:lineRule="auto"/>
        <w:ind w:firstLine="482" w:firstLineChars="200"/>
        <w:jc w:val="both"/>
        <w:textAlignment w:val="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五、招标文件发售信息</w:t>
      </w:r>
    </w:p>
    <w:p w14:paraId="6D037A11">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1.递交资格预审材料时间：</w:t>
      </w:r>
      <w:r>
        <w:rPr>
          <w:rFonts w:hint="eastAsia" w:asciiTheme="majorEastAsia" w:hAnsiTheme="majorEastAsia" w:eastAsiaTheme="majorEastAsia" w:cstheme="majorEastAsia"/>
          <w:sz w:val="24"/>
          <w:szCs w:val="24"/>
          <w:highlight w:val="none"/>
        </w:rPr>
        <w:t>即日起至202</w:t>
      </w:r>
      <w:r>
        <w:rPr>
          <w:rFonts w:hint="eastAsia" w:asciiTheme="majorEastAsia" w:hAnsiTheme="majorEastAsia" w:eastAsiaTheme="majorEastAsia" w:cstheme="majorEastAsia"/>
          <w:sz w:val="24"/>
          <w:szCs w:val="24"/>
          <w:highlight w:val="none"/>
          <w:lang w:val="en-US" w:eastAsia="zh-CN"/>
        </w:rPr>
        <w:t>6</w:t>
      </w:r>
      <w:r>
        <w:rPr>
          <w:rFonts w:hint="eastAsia" w:asciiTheme="majorEastAsia" w:hAnsiTheme="majorEastAsia" w:eastAsiaTheme="majorEastAsia" w:cstheme="majorEastAsia"/>
          <w:sz w:val="24"/>
          <w:szCs w:val="24"/>
          <w:highlight w:val="none"/>
        </w:rPr>
        <w:t>年</w:t>
      </w:r>
      <w:r>
        <w:rPr>
          <w:rFonts w:hint="eastAsia" w:asciiTheme="majorEastAsia" w:hAnsiTheme="majorEastAsia" w:eastAsiaTheme="majorEastAsia" w:cstheme="majorEastAsia"/>
          <w:sz w:val="24"/>
          <w:szCs w:val="24"/>
          <w:highlight w:val="none"/>
          <w:lang w:val="en-US" w:eastAsia="zh-CN"/>
        </w:rPr>
        <w:t>1</w:t>
      </w:r>
      <w:r>
        <w:rPr>
          <w:rFonts w:hint="eastAsia" w:asciiTheme="majorEastAsia" w:hAnsiTheme="majorEastAsia" w:eastAsiaTheme="majorEastAsia" w:cstheme="majorEastAsia"/>
          <w:sz w:val="24"/>
          <w:szCs w:val="24"/>
          <w:highlight w:val="none"/>
        </w:rPr>
        <w:t>月</w:t>
      </w:r>
      <w:r>
        <w:rPr>
          <w:rFonts w:hint="eastAsia" w:asciiTheme="majorEastAsia" w:hAnsiTheme="majorEastAsia" w:eastAsiaTheme="majorEastAsia" w:cstheme="majorEastAsia"/>
          <w:sz w:val="24"/>
          <w:szCs w:val="24"/>
          <w:highlight w:val="none"/>
          <w:lang w:val="en-US" w:eastAsia="zh-CN"/>
        </w:rPr>
        <w:t>6</w:t>
      </w:r>
      <w:r>
        <w:rPr>
          <w:rFonts w:hint="eastAsia" w:asciiTheme="majorEastAsia" w:hAnsiTheme="majorEastAsia" w:eastAsiaTheme="majorEastAsia" w:cstheme="majorEastAsia"/>
          <w:sz w:val="24"/>
          <w:szCs w:val="24"/>
          <w:highlight w:val="none"/>
        </w:rPr>
        <w:t>日</w:t>
      </w:r>
      <w:r>
        <w:rPr>
          <w:rFonts w:hint="eastAsia" w:asciiTheme="majorEastAsia" w:hAnsiTheme="majorEastAsia" w:eastAsiaTheme="majorEastAsia" w:cstheme="majorEastAsia"/>
          <w:sz w:val="24"/>
          <w:szCs w:val="24"/>
          <w:highlight w:val="none"/>
        </w:rPr>
        <w:t>（每日上午9：00—11：30，下午13：30—16：30，北京时间、-节假日除外）。</w:t>
      </w:r>
    </w:p>
    <w:p w14:paraId="439EE051">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2.递交资格预审材料地点：苏州市相城区嘉元路1060号中翔金融大厦9005室。</w:t>
      </w:r>
    </w:p>
    <w:p w14:paraId="0147E35E">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3.售价：本套招标文件售价为人民币</w:t>
      </w:r>
      <w:r>
        <w:rPr>
          <w:rFonts w:hint="eastAsia" w:asciiTheme="majorEastAsia" w:hAnsiTheme="majorEastAsia" w:eastAsiaTheme="majorEastAsia" w:cstheme="majorEastAsia"/>
          <w:bCs/>
          <w:sz w:val="24"/>
          <w:szCs w:val="24"/>
          <w:highlight w:val="none"/>
        </w:rPr>
        <w:t>伍佰元</w:t>
      </w:r>
      <w:r>
        <w:rPr>
          <w:rFonts w:hint="eastAsia" w:asciiTheme="majorEastAsia" w:hAnsiTheme="majorEastAsia" w:eastAsiaTheme="majorEastAsia" w:cstheme="majorEastAsia"/>
          <w:sz w:val="24"/>
          <w:szCs w:val="24"/>
          <w:highlight w:val="none"/>
        </w:rPr>
        <w:t>整，售后不退。</w:t>
      </w:r>
    </w:p>
    <w:p w14:paraId="3E8E264B">
      <w:pPr>
        <w:pStyle w:val="2"/>
        <w:keepNext w:val="0"/>
        <w:keepLines w:val="0"/>
        <w:pageBreakBefore w:val="0"/>
        <w:widowControl/>
        <w:shd w:val="clear"/>
        <w:kinsoku/>
        <w:wordWrap/>
        <w:overflowPunct w:val="0"/>
        <w:topLinePunct w:val="0"/>
        <w:autoSpaceDE/>
        <w:autoSpaceDN/>
        <w:bidi w:val="0"/>
        <w:snapToGrid/>
        <w:spacing w:line="240" w:lineRule="auto"/>
        <w:ind w:firstLine="482" w:firstLineChars="200"/>
        <w:jc w:val="both"/>
        <w:textAlignment w:val="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六、投标文件接收信息</w:t>
      </w:r>
    </w:p>
    <w:p w14:paraId="1BE073CA">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1.开始接收时间：202</w:t>
      </w:r>
      <w:r>
        <w:rPr>
          <w:rFonts w:hint="eastAsia" w:asciiTheme="majorEastAsia" w:hAnsiTheme="majorEastAsia" w:eastAsiaTheme="majorEastAsia" w:cstheme="majorEastAsia"/>
          <w:sz w:val="24"/>
          <w:szCs w:val="24"/>
          <w:highlight w:val="none"/>
          <w:lang w:val="en-US" w:eastAsia="zh-CN"/>
        </w:rPr>
        <w:t>6</w:t>
      </w:r>
      <w:r>
        <w:rPr>
          <w:rFonts w:hint="eastAsia" w:asciiTheme="majorEastAsia" w:hAnsiTheme="majorEastAsia" w:eastAsiaTheme="majorEastAsia" w:cstheme="majorEastAsia"/>
          <w:sz w:val="24"/>
          <w:szCs w:val="24"/>
          <w:highlight w:val="none"/>
        </w:rPr>
        <w:t>年</w:t>
      </w:r>
      <w:r>
        <w:rPr>
          <w:rFonts w:hint="eastAsia" w:asciiTheme="majorEastAsia" w:hAnsiTheme="majorEastAsia" w:eastAsiaTheme="majorEastAsia" w:cstheme="majorEastAsia"/>
          <w:sz w:val="24"/>
          <w:szCs w:val="24"/>
          <w:highlight w:val="none"/>
          <w:lang w:val="en-US" w:eastAsia="zh-CN"/>
        </w:rPr>
        <w:t>1</w:t>
      </w:r>
      <w:r>
        <w:rPr>
          <w:rFonts w:hint="eastAsia" w:asciiTheme="majorEastAsia" w:hAnsiTheme="majorEastAsia" w:eastAsiaTheme="majorEastAsia" w:cstheme="majorEastAsia"/>
          <w:sz w:val="24"/>
          <w:szCs w:val="24"/>
          <w:highlight w:val="none"/>
        </w:rPr>
        <w:t>月</w:t>
      </w:r>
      <w:r>
        <w:rPr>
          <w:rFonts w:hint="eastAsia" w:asciiTheme="majorEastAsia" w:hAnsiTheme="majorEastAsia" w:eastAsiaTheme="majorEastAsia" w:cstheme="majorEastAsia"/>
          <w:sz w:val="24"/>
          <w:szCs w:val="24"/>
          <w:highlight w:val="none"/>
          <w:lang w:val="en-US" w:eastAsia="zh-CN"/>
        </w:rPr>
        <w:t>20</w:t>
      </w:r>
      <w:r>
        <w:rPr>
          <w:rFonts w:hint="eastAsia" w:asciiTheme="majorEastAsia" w:hAnsiTheme="majorEastAsia" w:eastAsiaTheme="majorEastAsia" w:cstheme="majorEastAsia"/>
          <w:sz w:val="24"/>
          <w:szCs w:val="24"/>
          <w:highlight w:val="none"/>
        </w:rPr>
        <w:t>日13：30--14：00（北京时间）</w:t>
      </w:r>
    </w:p>
    <w:p w14:paraId="299091BC">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2.接收截止时间：202</w:t>
      </w:r>
      <w:r>
        <w:rPr>
          <w:rFonts w:hint="eastAsia" w:asciiTheme="majorEastAsia" w:hAnsiTheme="majorEastAsia" w:eastAsiaTheme="majorEastAsia" w:cstheme="majorEastAsia"/>
          <w:sz w:val="24"/>
          <w:szCs w:val="24"/>
          <w:highlight w:val="none"/>
          <w:lang w:val="en-US" w:eastAsia="zh-CN"/>
        </w:rPr>
        <w:t>6</w:t>
      </w:r>
      <w:r>
        <w:rPr>
          <w:rFonts w:hint="eastAsia" w:asciiTheme="majorEastAsia" w:hAnsiTheme="majorEastAsia" w:eastAsiaTheme="majorEastAsia" w:cstheme="majorEastAsia"/>
          <w:sz w:val="24"/>
          <w:szCs w:val="24"/>
          <w:highlight w:val="none"/>
        </w:rPr>
        <w:t>年</w:t>
      </w:r>
      <w:r>
        <w:rPr>
          <w:rFonts w:hint="eastAsia" w:asciiTheme="majorEastAsia" w:hAnsiTheme="majorEastAsia" w:eastAsiaTheme="majorEastAsia" w:cstheme="majorEastAsia"/>
          <w:sz w:val="24"/>
          <w:szCs w:val="24"/>
          <w:highlight w:val="none"/>
          <w:lang w:val="en-US" w:eastAsia="zh-CN"/>
        </w:rPr>
        <w:t>1</w:t>
      </w:r>
      <w:r>
        <w:rPr>
          <w:rFonts w:hint="eastAsia" w:asciiTheme="majorEastAsia" w:hAnsiTheme="majorEastAsia" w:eastAsiaTheme="majorEastAsia" w:cstheme="majorEastAsia"/>
          <w:sz w:val="24"/>
          <w:szCs w:val="24"/>
          <w:highlight w:val="none"/>
        </w:rPr>
        <w:t>月</w:t>
      </w:r>
      <w:r>
        <w:rPr>
          <w:rFonts w:hint="eastAsia" w:asciiTheme="majorEastAsia" w:hAnsiTheme="majorEastAsia" w:eastAsiaTheme="majorEastAsia" w:cstheme="majorEastAsia"/>
          <w:sz w:val="24"/>
          <w:szCs w:val="24"/>
          <w:highlight w:val="none"/>
          <w:lang w:val="en-US" w:eastAsia="zh-CN"/>
        </w:rPr>
        <w:t>20</w:t>
      </w:r>
      <w:r>
        <w:rPr>
          <w:rFonts w:hint="eastAsia" w:asciiTheme="majorEastAsia" w:hAnsiTheme="majorEastAsia" w:eastAsiaTheme="majorEastAsia" w:cstheme="majorEastAsia"/>
          <w:sz w:val="24"/>
          <w:szCs w:val="24"/>
          <w:highlight w:val="none"/>
        </w:rPr>
        <w:t>日14：00（北京时间）</w:t>
      </w:r>
    </w:p>
    <w:p w14:paraId="7FA910EF">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3.接收地点：苏州市相城区嘉元路1060号中翔金融大厦9005开标室</w:t>
      </w:r>
    </w:p>
    <w:p w14:paraId="6690726B">
      <w:pPr>
        <w:pStyle w:val="2"/>
        <w:keepNext w:val="0"/>
        <w:keepLines w:val="0"/>
        <w:pageBreakBefore w:val="0"/>
        <w:widowControl/>
        <w:shd w:val="clear"/>
        <w:kinsoku/>
        <w:wordWrap/>
        <w:overflowPunct w:val="0"/>
        <w:topLinePunct w:val="0"/>
        <w:autoSpaceDE/>
        <w:autoSpaceDN/>
        <w:bidi w:val="0"/>
        <w:snapToGrid/>
        <w:spacing w:line="240" w:lineRule="auto"/>
        <w:ind w:firstLine="482" w:firstLineChars="200"/>
        <w:jc w:val="both"/>
        <w:textAlignment w:val="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七、开标有关信息</w:t>
      </w:r>
    </w:p>
    <w:p w14:paraId="64DE761C">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1.开标时间：202</w:t>
      </w:r>
      <w:r>
        <w:rPr>
          <w:rFonts w:hint="eastAsia" w:asciiTheme="majorEastAsia" w:hAnsiTheme="majorEastAsia" w:eastAsiaTheme="majorEastAsia" w:cstheme="majorEastAsia"/>
          <w:sz w:val="24"/>
          <w:szCs w:val="24"/>
          <w:highlight w:val="none"/>
          <w:lang w:val="en-US" w:eastAsia="zh-CN"/>
        </w:rPr>
        <w:t>6</w:t>
      </w:r>
      <w:r>
        <w:rPr>
          <w:rFonts w:hint="eastAsia" w:asciiTheme="majorEastAsia" w:hAnsiTheme="majorEastAsia" w:eastAsiaTheme="majorEastAsia" w:cstheme="majorEastAsia"/>
          <w:sz w:val="24"/>
          <w:szCs w:val="24"/>
          <w:highlight w:val="none"/>
        </w:rPr>
        <w:t>年</w:t>
      </w:r>
      <w:r>
        <w:rPr>
          <w:rFonts w:hint="eastAsia" w:asciiTheme="majorEastAsia" w:hAnsiTheme="majorEastAsia" w:eastAsiaTheme="majorEastAsia" w:cstheme="majorEastAsia"/>
          <w:sz w:val="24"/>
          <w:szCs w:val="24"/>
          <w:highlight w:val="none"/>
          <w:lang w:val="en-US" w:eastAsia="zh-CN"/>
        </w:rPr>
        <w:t>1</w:t>
      </w:r>
      <w:r>
        <w:rPr>
          <w:rFonts w:hint="eastAsia" w:asciiTheme="majorEastAsia" w:hAnsiTheme="majorEastAsia" w:eastAsiaTheme="majorEastAsia" w:cstheme="majorEastAsia"/>
          <w:sz w:val="24"/>
          <w:szCs w:val="24"/>
          <w:highlight w:val="none"/>
        </w:rPr>
        <w:t>月</w:t>
      </w:r>
      <w:r>
        <w:rPr>
          <w:rFonts w:hint="eastAsia" w:asciiTheme="majorEastAsia" w:hAnsiTheme="majorEastAsia" w:eastAsiaTheme="majorEastAsia" w:cstheme="majorEastAsia"/>
          <w:sz w:val="24"/>
          <w:szCs w:val="24"/>
          <w:highlight w:val="none"/>
          <w:lang w:val="en-US" w:eastAsia="zh-CN"/>
        </w:rPr>
        <w:t>20</w:t>
      </w:r>
      <w:r>
        <w:rPr>
          <w:rFonts w:hint="eastAsia" w:asciiTheme="majorEastAsia" w:hAnsiTheme="majorEastAsia" w:eastAsiaTheme="majorEastAsia" w:cstheme="majorEastAsia"/>
          <w:sz w:val="24"/>
          <w:szCs w:val="24"/>
          <w:highlight w:val="none"/>
        </w:rPr>
        <w:t>日14：00（北京时间）</w:t>
      </w:r>
    </w:p>
    <w:p w14:paraId="6CC586B1">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 xml:space="preserve">2.开标地点：苏州市相城区嘉元路1060号中翔金融大厦9005开标室 </w:t>
      </w:r>
    </w:p>
    <w:p w14:paraId="37348B94">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3.投标文件：正本壹份，副本叁份，另还需提供一份投标文件的扫描件，以U盘形式递交。</w:t>
      </w:r>
    </w:p>
    <w:p w14:paraId="71A6B4B6">
      <w:pPr>
        <w:pStyle w:val="2"/>
        <w:keepNext w:val="0"/>
        <w:keepLines w:val="0"/>
        <w:pageBreakBefore w:val="0"/>
        <w:widowControl/>
        <w:shd w:val="clear"/>
        <w:kinsoku/>
        <w:wordWrap/>
        <w:overflowPunct w:val="0"/>
        <w:topLinePunct w:val="0"/>
        <w:autoSpaceDE/>
        <w:autoSpaceDN/>
        <w:bidi w:val="0"/>
        <w:snapToGrid/>
        <w:spacing w:line="240" w:lineRule="auto"/>
        <w:ind w:firstLine="482" w:firstLineChars="200"/>
        <w:jc w:val="both"/>
        <w:textAlignment w:val="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八、投标保证金</w:t>
      </w:r>
    </w:p>
    <w:p w14:paraId="05DDD5CD">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1.投标保证金：人民</w:t>
      </w:r>
      <w:r>
        <w:rPr>
          <w:rFonts w:hint="eastAsia" w:asciiTheme="majorEastAsia" w:hAnsiTheme="majorEastAsia" w:eastAsiaTheme="majorEastAsia" w:cstheme="majorEastAsia"/>
          <w:sz w:val="24"/>
          <w:szCs w:val="24"/>
          <w:highlight w:val="none"/>
        </w:rPr>
        <w:t>币贰万元</w:t>
      </w:r>
      <w:r>
        <w:rPr>
          <w:rFonts w:hint="eastAsia" w:asciiTheme="majorEastAsia" w:hAnsiTheme="majorEastAsia" w:eastAsiaTheme="majorEastAsia" w:cstheme="majorEastAsia"/>
          <w:sz w:val="24"/>
          <w:szCs w:val="24"/>
          <w:highlight w:val="none"/>
        </w:rPr>
        <w:t>整（20000元）；</w:t>
      </w:r>
    </w:p>
    <w:p w14:paraId="107BAA04">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2.保证金形式：</w:t>
      </w:r>
      <w:r>
        <w:rPr>
          <w:rFonts w:hint="eastAsia" w:asciiTheme="majorEastAsia" w:hAnsiTheme="majorEastAsia" w:eastAsiaTheme="majorEastAsia" w:cstheme="majorEastAsia"/>
          <w:b/>
          <w:bCs/>
          <w:sz w:val="24"/>
          <w:szCs w:val="24"/>
          <w:highlight w:val="none"/>
          <w:u w:val="single"/>
        </w:rPr>
        <w:t>电汇、银行转账、银行汇票或银行本票</w:t>
      </w:r>
      <w:r>
        <w:rPr>
          <w:rFonts w:hint="eastAsia" w:asciiTheme="majorEastAsia" w:hAnsiTheme="majorEastAsia" w:eastAsiaTheme="majorEastAsia" w:cstheme="majorEastAsia"/>
          <w:sz w:val="24"/>
          <w:szCs w:val="24"/>
          <w:highlight w:val="none"/>
        </w:rPr>
        <w:t>（除现场递交银行本票、银行汇票形式外，其他形式缴纳的投标保证金均不予接收）。</w:t>
      </w:r>
    </w:p>
    <w:p w14:paraId="44CCB9AC">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lang w:val="zh-TW"/>
        </w:rPr>
      </w:pPr>
      <w:r>
        <w:rPr>
          <w:rFonts w:hint="eastAsia" w:asciiTheme="majorEastAsia" w:hAnsiTheme="majorEastAsia" w:eastAsiaTheme="majorEastAsia" w:cstheme="majorEastAsia"/>
          <w:sz w:val="24"/>
          <w:szCs w:val="24"/>
          <w:highlight w:val="none"/>
          <w:lang w:val="zh-TW" w:eastAsia="zh-TW"/>
        </w:rPr>
        <w:t>收款单位：北京市建壮咨询有限公司</w:t>
      </w:r>
      <w:r>
        <w:rPr>
          <w:rFonts w:hint="eastAsia" w:asciiTheme="majorEastAsia" w:hAnsiTheme="majorEastAsia" w:eastAsiaTheme="majorEastAsia" w:cstheme="majorEastAsia"/>
          <w:sz w:val="24"/>
          <w:szCs w:val="24"/>
          <w:highlight w:val="none"/>
          <w:lang w:val="zh-TW"/>
        </w:rPr>
        <w:t>苏州分公司</w:t>
      </w:r>
    </w:p>
    <w:p w14:paraId="61596F5A">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lang w:val="zh-TW"/>
        </w:rPr>
      </w:pPr>
      <w:r>
        <w:rPr>
          <w:rFonts w:hint="eastAsia" w:asciiTheme="majorEastAsia" w:hAnsiTheme="majorEastAsia" w:eastAsiaTheme="majorEastAsia" w:cstheme="majorEastAsia"/>
          <w:sz w:val="24"/>
          <w:szCs w:val="24"/>
          <w:highlight w:val="none"/>
          <w:lang w:val="zh-TW" w:eastAsia="zh-TW"/>
        </w:rPr>
        <w:t>银行账号：520962215656</w:t>
      </w:r>
    </w:p>
    <w:p w14:paraId="02DADF98">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lang w:val="zh-TW"/>
        </w:rPr>
      </w:pPr>
      <w:r>
        <w:rPr>
          <w:rFonts w:hint="eastAsia" w:asciiTheme="majorEastAsia" w:hAnsiTheme="majorEastAsia" w:eastAsiaTheme="majorEastAsia" w:cstheme="majorEastAsia"/>
          <w:sz w:val="24"/>
          <w:szCs w:val="24"/>
          <w:highlight w:val="none"/>
          <w:lang w:val="zh-TW" w:eastAsia="zh-TW"/>
        </w:rPr>
        <w:t>开户银行：</w:t>
      </w:r>
      <w:r>
        <w:rPr>
          <w:rFonts w:hint="eastAsia" w:asciiTheme="majorEastAsia" w:hAnsiTheme="majorEastAsia" w:eastAsiaTheme="majorEastAsia" w:cstheme="majorEastAsia"/>
          <w:sz w:val="24"/>
          <w:szCs w:val="24"/>
          <w:highlight w:val="none"/>
          <w:lang w:val="zh-TW"/>
        </w:rPr>
        <w:t>中国银行苏州观前支行</w:t>
      </w:r>
    </w:p>
    <w:p w14:paraId="43D14643">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3.交纳截止时间：若采用电汇形式，须在投标文件递交截止时间（即开标时间）前到达指定帐号；若采用银行本票、银行汇票形式的可在投标文件递交截止时间（即开标时间）前现场递交给招标代理，其他形式缴纳的投标保证金均不予接收，如未按规定交纳，视为无效投标。</w:t>
      </w:r>
    </w:p>
    <w:p w14:paraId="21E142BB">
      <w:pPr>
        <w:pStyle w:val="2"/>
        <w:keepNext w:val="0"/>
        <w:keepLines w:val="0"/>
        <w:pageBreakBefore w:val="0"/>
        <w:widowControl/>
        <w:shd w:val="clear"/>
        <w:kinsoku/>
        <w:wordWrap/>
        <w:overflowPunct w:val="0"/>
        <w:topLinePunct w:val="0"/>
        <w:autoSpaceDE/>
        <w:autoSpaceDN/>
        <w:bidi w:val="0"/>
        <w:snapToGrid/>
        <w:spacing w:line="240" w:lineRule="auto"/>
        <w:ind w:firstLine="482" w:firstLineChars="200"/>
        <w:jc w:val="both"/>
        <w:textAlignment w:val="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九、采购预算、履约保证金</w:t>
      </w:r>
    </w:p>
    <w:p w14:paraId="45655527">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1、本项目预算：人民币陆佰壹拾万元整（6100000元）</w:t>
      </w:r>
    </w:p>
    <w:p w14:paraId="5976C42F">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 xml:space="preserve">2、履约保证金：人民币壹拾伍万元整（150000元） </w:t>
      </w:r>
    </w:p>
    <w:p w14:paraId="5DBA65FB">
      <w:pPr>
        <w:pStyle w:val="2"/>
        <w:keepNext w:val="0"/>
        <w:keepLines w:val="0"/>
        <w:pageBreakBefore w:val="0"/>
        <w:widowControl/>
        <w:shd w:val="clear"/>
        <w:kinsoku/>
        <w:wordWrap/>
        <w:overflowPunct w:val="0"/>
        <w:topLinePunct w:val="0"/>
        <w:autoSpaceDE/>
        <w:autoSpaceDN/>
        <w:bidi w:val="0"/>
        <w:snapToGrid/>
        <w:spacing w:line="240" w:lineRule="auto"/>
        <w:ind w:firstLine="482" w:firstLineChars="200"/>
        <w:jc w:val="both"/>
        <w:textAlignment w:val="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十、中标服务费</w:t>
      </w:r>
    </w:p>
    <w:p w14:paraId="1F16BB3A">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1.中标服务费由中标单位支付，以中标金额为基数按差额累计法收费（中标金额100万元以下，收取1.5%；100-500万元，收取0.8%；500-1000万元，收取0.45%；1000-5000万元，收取0.25%）；最低叁仟元整。该费用应在领取中标通知书时付清。</w:t>
      </w:r>
    </w:p>
    <w:p w14:paraId="455534EB">
      <w:pPr>
        <w:pStyle w:val="2"/>
        <w:keepNext w:val="0"/>
        <w:keepLines w:val="0"/>
        <w:pageBreakBefore w:val="0"/>
        <w:widowControl/>
        <w:shd w:val="clear"/>
        <w:kinsoku/>
        <w:wordWrap/>
        <w:overflowPunct w:val="0"/>
        <w:topLinePunct w:val="0"/>
        <w:autoSpaceDE/>
        <w:autoSpaceDN/>
        <w:bidi w:val="0"/>
        <w:snapToGrid/>
        <w:spacing w:line="240" w:lineRule="auto"/>
        <w:ind w:firstLine="482" w:firstLineChars="200"/>
        <w:jc w:val="both"/>
        <w:textAlignment w:val="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十一、联系事项</w:t>
      </w:r>
    </w:p>
    <w:p w14:paraId="6DBB5E5D">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1.采购单位：昆山市轨道交通投资发展有限公司</w:t>
      </w:r>
    </w:p>
    <w:p w14:paraId="127FF0FB">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联系人：相</w:t>
      </w:r>
      <w:r>
        <w:rPr>
          <w:rFonts w:hint="eastAsia" w:asciiTheme="majorEastAsia" w:hAnsiTheme="majorEastAsia" w:eastAsiaTheme="majorEastAsia" w:cstheme="majorEastAsia"/>
          <w:sz w:val="24"/>
          <w:szCs w:val="24"/>
          <w:highlight w:val="none"/>
          <w:lang w:val="en-US" w:eastAsia="zh-CN"/>
        </w:rPr>
        <w:t>荣</w:t>
      </w:r>
      <w:r>
        <w:rPr>
          <w:rFonts w:hint="eastAsia" w:asciiTheme="majorEastAsia" w:hAnsiTheme="majorEastAsia" w:eastAsiaTheme="majorEastAsia" w:cstheme="majorEastAsia"/>
          <w:sz w:val="24"/>
          <w:szCs w:val="24"/>
          <w:highlight w:val="none"/>
        </w:rPr>
        <w:t xml:space="preserve">      </w:t>
      </w:r>
      <w:bookmarkStart w:id="2" w:name="_GoBack"/>
      <w:bookmarkEnd w:id="2"/>
      <w:r>
        <w:rPr>
          <w:rFonts w:hint="eastAsia" w:asciiTheme="majorEastAsia" w:hAnsiTheme="majorEastAsia" w:eastAsiaTheme="majorEastAsia" w:cstheme="majorEastAsia"/>
          <w:sz w:val="24"/>
          <w:szCs w:val="24"/>
          <w:highlight w:val="none"/>
        </w:rPr>
        <w:t>联系电话：0512-57699266</w:t>
      </w:r>
    </w:p>
    <w:p w14:paraId="579BC84B">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2.招标代理：北京市建壮咨询有限公司</w:t>
      </w:r>
    </w:p>
    <w:p w14:paraId="633A264E">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地址：苏州市相城区元和街道嘉元路1060号中翔金融大厦9005室</w:t>
      </w:r>
    </w:p>
    <w:p w14:paraId="5E24B141">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 xml:space="preserve">联系人：王冉冉    </w:t>
      </w:r>
      <w:r>
        <w:rPr>
          <w:rFonts w:hint="eastAsia" w:asciiTheme="majorEastAsia" w:hAnsiTheme="majorEastAsia" w:eastAsiaTheme="majorEastAsia" w:cstheme="majorEastAsia"/>
          <w:sz w:val="24"/>
          <w:szCs w:val="24"/>
          <w:highlight w:val="none"/>
          <w:lang w:val="en-US" w:eastAsia="zh-CN"/>
        </w:rPr>
        <w:t>联系</w:t>
      </w:r>
      <w:r>
        <w:rPr>
          <w:rFonts w:hint="eastAsia" w:asciiTheme="majorEastAsia" w:hAnsiTheme="majorEastAsia" w:eastAsiaTheme="majorEastAsia" w:cstheme="majorEastAsia"/>
          <w:sz w:val="24"/>
          <w:szCs w:val="24"/>
          <w:highlight w:val="none"/>
        </w:rPr>
        <w:t xml:space="preserve">电话：0512-67599004   </w:t>
      </w:r>
      <w:r>
        <w:rPr>
          <w:rFonts w:hint="eastAsia" w:asciiTheme="majorEastAsia" w:hAnsiTheme="majorEastAsia" w:eastAsiaTheme="majorEastAsia" w:cstheme="majorEastAsia"/>
          <w:sz w:val="24"/>
          <w:szCs w:val="24"/>
          <w:highlight w:val="none"/>
        </w:rPr>
        <w:t>邮箱：</w:t>
      </w:r>
      <w:r>
        <w:rPr>
          <w:rFonts w:hint="eastAsia" w:asciiTheme="majorEastAsia" w:hAnsiTheme="majorEastAsia" w:eastAsiaTheme="majorEastAsia" w:cstheme="majorEastAsia"/>
          <w:sz w:val="24"/>
          <w:szCs w:val="24"/>
          <w:highlight w:val="none"/>
        </w:rPr>
        <w:fldChar w:fldCharType="begin"/>
      </w:r>
      <w:r>
        <w:rPr>
          <w:rFonts w:hint="eastAsia" w:asciiTheme="majorEastAsia" w:hAnsiTheme="majorEastAsia" w:eastAsiaTheme="majorEastAsia" w:cstheme="majorEastAsia"/>
          <w:sz w:val="24"/>
          <w:szCs w:val="24"/>
          <w:highlight w:val="none"/>
        </w:rPr>
        <w:instrText xml:space="preserve"> HYPERLINK "mailto:jzzbsz@126.com" </w:instrText>
      </w:r>
      <w:r>
        <w:rPr>
          <w:rFonts w:hint="eastAsia" w:asciiTheme="majorEastAsia" w:hAnsiTheme="majorEastAsia" w:eastAsiaTheme="majorEastAsia" w:cstheme="majorEastAsia"/>
          <w:sz w:val="24"/>
          <w:szCs w:val="24"/>
          <w:highlight w:val="none"/>
        </w:rPr>
        <w:fldChar w:fldCharType="separate"/>
      </w:r>
      <w:r>
        <w:rPr>
          <w:rFonts w:hint="eastAsia" w:asciiTheme="majorEastAsia" w:hAnsiTheme="majorEastAsia" w:eastAsiaTheme="majorEastAsia" w:cstheme="majorEastAsia"/>
          <w:sz w:val="24"/>
          <w:szCs w:val="24"/>
          <w:highlight w:val="none"/>
        </w:rPr>
        <w:t>jzzbsz@126.com</w:t>
      </w:r>
      <w:r>
        <w:rPr>
          <w:rFonts w:hint="eastAsia" w:asciiTheme="majorEastAsia" w:hAnsiTheme="majorEastAsia" w:eastAsiaTheme="majorEastAsia" w:cstheme="majorEastAsia"/>
          <w:sz w:val="24"/>
          <w:szCs w:val="24"/>
          <w:highlight w:val="none"/>
        </w:rPr>
        <w:fldChar w:fldCharType="end"/>
      </w:r>
    </w:p>
    <w:p w14:paraId="0FA8B09C">
      <w:pPr>
        <w:pStyle w:val="2"/>
        <w:keepNext w:val="0"/>
        <w:keepLines w:val="0"/>
        <w:pageBreakBefore w:val="0"/>
        <w:widowControl/>
        <w:shd w:val="clear"/>
        <w:kinsoku/>
        <w:wordWrap/>
        <w:overflowPunct w:val="0"/>
        <w:topLinePunct w:val="0"/>
        <w:autoSpaceDE/>
        <w:autoSpaceDN/>
        <w:bidi w:val="0"/>
        <w:snapToGrid/>
        <w:spacing w:line="240" w:lineRule="auto"/>
        <w:ind w:firstLine="480" w:firstLineChars="200"/>
        <w:jc w:val="both"/>
        <w:textAlignment w:val="auto"/>
        <w:rPr>
          <w:rFonts w:hint="eastAsia" w:asciiTheme="majorEastAsia" w:hAnsiTheme="majorEastAsia" w:eastAsiaTheme="majorEastAsia" w:cstheme="majorEastAsia"/>
          <w:bCs/>
          <w:sz w:val="24"/>
          <w:szCs w:val="24"/>
          <w:highlight w:val="none"/>
          <w:lang w:val="zh-TW" w:eastAsia="zh-TW"/>
        </w:rPr>
      </w:pPr>
      <w:r>
        <w:rPr>
          <w:rFonts w:hint="eastAsia" w:asciiTheme="majorEastAsia" w:hAnsiTheme="majorEastAsia" w:eastAsiaTheme="majorEastAsia" w:cstheme="majorEastAsia"/>
          <w:bCs/>
          <w:sz w:val="24"/>
          <w:szCs w:val="24"/>
          <w:highlight w:val="none"/>
          <w:lang w:val="zh-TW" w:eastAsia="zh-TW"/>
        </w:rPr>
        <w:t>3.本项目自行监管</w:t>
      </w:r>
      <w:r>
        <w:rPr>
          <w:rFonts w:hint="eastAsia" w:asciiTheme="majorEastAsia" w:hAnsiTheme="majorEastAsia" w:eastAsiaTheme="majorEastAsia" w:cstheme="majorEastAsia"/>
          <w:bCs/>
          <w:sz w:val="24"/>
          <w:szCs w:val="24"/>
          <w:highlight w:val="none"/>
          <w:lang w:val="zh-TW"/>
        </w:rPr>
        <w:t>，</w:t>
      </w:r>
      <w:r>
        <w:rPr>
          <w:rFonts w:hint="eastAsia" w:asciiTheme="majorEastAsia" w:hAnsiTheme="majorEastAsia" w:eastAsiaTheme="majorEastAsia" w:cstheme="majorEastAsia"/>
          <w:bCs/>
          <w:sz w:val="24"/>
          <w:szCs w:val="24"/>
          <w:highlight w:val="none"/>
          <w:lang w:val="zh-TW" w:eastAsia="zh-TW"/>
        </w:rPr>
        <w:t>监督投诉电话：0512-57699266</w:t>
      </w:r>
    </w:p>
    <w:p w14:paraId="29FDCC1C">
      <w:pPr>
        <w:keepNext w:val="0"/>
        <w:keepLines w:val="0"/>
        <w:pageBreakBefore w:val="0"/>
        <w:widowControl/>
        <w:shd w:val="clear"/>
        <w:kinsoku/>
        <w:wordWrap/>
        <w:overflowPunct/>
        <w:topLinePunct w:val="0"/>
        <w:autoSpaceDE/>
        <w:autoSpaceDN/>
        <w:bidi w:val="0"/>
        <w:adjustRightInd/>
        <w:snapToGrid/>
        <w:spacing w:line="240" w:lineRule="auto"/>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sz w:val="24"/>
          <w:szCs w:val="24"/>
          <w:highlight w:val="none"/>
        </w:rPr>
        <w:t>备注：请贵单位领取本次招标采购文件后，认真阅读各项内容，进行必要的准备工作，按文件的要求详细填写和编制响应文件，并按以上确定的时间、地点准时参加投标。</w:t>
      </w:r>
    </w:p>
    <w:bookmarkEnd w:id="0"/>
    <w:p w14:paraId="10B94930">
      <w:pPr>
        <w:shd w:val="clear"/>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p>
    <w:sectPr>
      <w:pgSz w:w="11906" w:h="16838"/>
      <w:pgMar w:top="1135" w:right="1416" w:bottom="1276"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Microsoft YaHei UI"/>
    <w:panose1 w:val="020B0604020202020204"/>
    <w:charset w:val="86"/>
    <w:family w:val="swiss"/>
    <w:pitch w:val="default"/>
    <w:sig w:usb0="00000000" w:usb1="00000000" w:usb2="0000003F" w:usb3="00000000" w:csb0="603F01FF" w:csb1="FFFF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zOWVmZTYwMDcwNDBjOTVjY2ExNTYwYjkzOTBjM2UifQ=="/>
  </w:docVars>
  <w:rsids>
    <w:rsidRoot w:val="00F24E6F"/>
    <w:rsid w:val="0004305E"/>
    <w:rsid w:val="0006043C"/>
    <w:rsid w:val="000751E2"/>
    <w:rsid w:val="000E6109"/>
    <w:rsid w:val="00106BC7"/>
    <w:rsid w:val="001F12C6"/>
    <w:rsid w:val="00312469"/>
    <w:rsid w:val="0032729B"/>
    <w:rsid w:val="003552AC"/>
    <w:rsid w:val="00395BBA"/>
    <w:rsid w:val="003A29BB"/>
    <w:rsid w:val="003A7B4A"/>
    <w:rsid w:val="00490F58"/>
    <w:rsid w:val="004C55FA"/>
    <w:rsid w:val="004F7DEA"/>
    <w:rsid w:val="00551E24"/>
    <w:rsid w:val="005E6E81"/>
    <w:rsid w:val="00625294"/>
    <w:rsid w:val="007D50B5"/>
    <w:rsid w:val="00866AB6"/>
    <w:rsid w:val="008815B2"/>
    <w:rsid w:val="0096627E"/>
    <w:rsid w:val="009E6856"/>
    <w:rsid w:val="00A24E4C"/>
    <w:rsid w:val="00A73A65"/>
    <w:rsid w:val="00BE77B3"/>
    <w:rsid w:val="00CB035A"/>
    <w:rsid w:val="00CF051A"/>
    <w:rsid w:val="00D15DED"/>
    <w:rsid w:val="00DB3CB8"/>
    <w:rsid w:val="00E1023C"/>
    <w:rsid w:val="00E24F4A"/>
    <w:rsid w:val="00E25E85"/>
    <w:rsid w:val="00E4557B"/>
    <w:rsid w:val="00F24E6F"/>
    <w:rsid w:val="00F43A7D"/>
    <w:rsid w:val="00F61145"/>
    <w:rsid w:val="00F850B2"/>
    <w:rsid w:val="01100F67"/>
    <w:rsid w:val="02EA7E22"/>
    <w:rsid w:val="04BF446C"/>
    <w:rsid w:val="05291032"/>
    <w:rsid w:val="05F1113A"/>
    <w:rsid w:val="0911621D"/>
    <w:rsid w:val="0A430D0D"/>
    <w:rsid w:val="0DA6583B"/>
    <w:rsid w:val="0F4C33C4"/>
    <w:rsid w:val="17081314"/>
    <w:rsid w:val="17CF1E32"/>
    <w:rsid w:val="191F46F3"/>
    <w:rsid w:val="192817FA"/>
    <w:rsid w:val="1ABC044C"/>
    <w:rsid w:val="1E1D789F"/>
    <w:rsid w:val="1EC27F17"/>
    <w:rsid w:val="1ED85A70"/>
    <w:rsid w:val="1F136AA8"/>
    <w:rsid w:val="20BE2A44"/>
    <w:rsid w:val="20ED0EAD"/>
    <w:rsid w:val="23A7273E"/>
    <w:rsid w:val="25DA20CE"/>
    <w:rsid w:val="26B43E48"/>
    <w:rsid w:val="2C8114F5"/>
    <w:rsid w:val="2DC7118A"/>
    <w:rsid w:val="2FE07B7F"/>
    <w:rsid w:val="31F32531"/>
    <w:rsid w:val="32E7407C"/>
    <w:rsid w:val="348E47AF"/>
    <w:rsid w:val="36C070BE"/>
    <w:rsid w:val="3B0F0643"/>
    <w:rsid w:val="3C1A101E"/>
    <w:rsid w:val="3F367F1D"/>
    <w:rsid w:val="42591872"/>
    <w:rsid w:val="47650DCA"/>
    <w:rsid w:val="49496A9F"/>
    <w:rsid w:val="498C323F"/>
    <w:rsid w:val="4AA00BB8"/>
    <w:rsid w:val="4EB94BCE"/>
    <w:rsid w:val="501716A5"/>
    <w:rsid w:val="52770131"/>
    <w:rsid w:val="532C190B"/>
    <w:rsid w:val="53CA7FB2"/>
    <w:rsid w:val="551268DF"/>
    <w:rsid w:val="5BC87CF7"/>
    <w:rsid w:val="5BE01692"/>
    <w:rsid w:val="5C1A067F"/>
    <w:rsid w:val="646A2293"/>
    <w:rsid w:val="656960A7"/>
    <w:rsid w:val="656A40E7"/>
    <w:rsid w:val="65717652"/>
    <w:rsid w:val="67802CA9"/>
    <w:rsid w:val="6A3F1ACC"/>
    <w:rsid w:val="6AD63C7B"/>
    <w:rsid w:val="6BAA566B"/>
    <w:rsid w:val="6F241B0D"/>
    <w:rsid w:val="6F7B5355"/>
    <w:rsid w:val="702F50A4"/>
    <w:rsid w:val="7056191E"/>
    <w:rsid w:val="70EC0A80"/>
    <w:rsid w:val="72AF5315"/>
    <w:rsid w:val="72B24F8E"/>
    <w:rsid w:val="73B54BAD"/>
    <w:rsid w:val="78D635FC"/>
    <w:rsid w:val="79313734"/>
    <w:rsid w:val="7B860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color w:val="000000"/>
      <w:kern w:val="0"/>
      <w:sz w:val="24"/>
      <w:szCs w:val="24"/>
      <w:u w:color="000000"/>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ind w:firstLine="420"/>
      <w:jc w:val="left"/>
    </w:pPr>
    <w:rPr>
      <w:rFonts w:eastAsia="楷体_GB2312"/>
      <w:sz w:val="24"/>
      <w:szCs w:val="20"/>
    </w:rPr>
  </w:style>
  <w:style w:type="paragraph" w:styleId="3">
    <w:name w:val="annotation text"/>
    <w:basedOn w:val="1"/>
    <w:semiHidden/>
    <w:unhideWhenUsed/>
    <w:qFormat/>
    <w:uiPriority w:val="99"/>
    <w:pPr>
      <w:jc w:val="left"/>
    </w:pPr>
  </w:style>
  <w:style w:type="paragraph" w:styleId="4">
    <w:name w:val="Body Text"/>
    <w:basedOn w:val="1"/>
    <w:qFormat/>
    <w:uiPriority w:val="99"/>
    <w:pPr>
      <w:spacing w:line="400" w:lineRule="exact"/>
    </w:pPr>
    <w:rPr>
      <w:rFonts w:ascii="楷体_GB2312" w:eastAsia="楷体_GB2312"/>
      <w:sz w:val="28"/>
      <w:szCs w:val="20"/>
    </w:rPr>
  </w:style>
  <w:style w:type="paragraph" w:styleId="5">
    <w:name w:val="Date"/>
    <w:basedOn w:val="1"/>
    <w:next w:val="1"/>
    <w:link w:val="24"/>
    <w:qFormat/>
    <w:uiPriority w:val="99"/>
    <w:pPr>
      <w:widowControl w:val="0"/>
      <w:jc w:val="both"/>
    </w:pPr>
    <w:rPr>
      <w:rFonts w:ascii="宋体" w:hAnsi="宋体" w:eastAsiaTheme="minorEastAsia" w:cstheme="minorBidi"/>
      <w:kern w:val="2"/>
    </w:rPr>
  </w:style>
  <w:style w:type="paragraph" w:styleId="6">
    <w:name w:val="footer"/>
    <w:basedOn w:val="1"/>
    <w:link w:val="23"/>
    <w:unhideWhenUsed/>
    <w:qFormat/>
    <w:uiPriority w:val="99"/>
    <w:pPr>
      <w:tabs>
        <w:tab w:val="center" w:pos="4153"/>
        <w:tab w:val="right" w:pos="8306"/>
      </w:tabs>
      <w:snapToGrid w:val="0"/>
    </w:pPr>
    <w:rPr>
      <w:sz w:val="18"/>
      <w:szCs w:val="18"/>
    </w:rPr>
  </w:style>
  <w:style w:type="paragraph" w:styleId="7">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rPr>
      <w:sz w:val="18"/>
      <w:szCs w:val="18"/>
    </w:rPr>
  </w:style>
  <w:style w:type="character" w:styleId="11">
    <w:name w:val="FollowedHyperlink"/>
    <w:basedOn w:val="10"/>
    <w:semiHidden/>
    <w:unhideWhenUsed/>
    <w:qFormat/>
    <w:uiPriority w:val="99"/>
    <w:rPr>
      <w:color w:val="800080"/>
      <w:u w:val="none"/>
    </w:rPr>
  </w:style>
  <w:style w:type="character" w:styleId="12">
    <w:name w:val="HTML Definition"/>
    <w:basedOn w:val="10"/>
    <w:semiHidden/>
    <w:unhideWhenUsed/>
    <w:qFormat/>
    <w:uiPriority w:val="99"/>
  </w:style>
  <w:style w:type="character" w:styleId="13">
    <w:name w:val="HTML Typewriter"/>
    <w:basedOn w:val="10"/>
    <w:semiHidden/>
    <w:unhideWhenUsed/>
    <w:qFormat/>
    <w:uiPriority w:val="99"/>
    <w:rPr>
      <w:rFonts w:hint="default" w:ascii="monospace" w:hAnsi="monospace" w:eastAsia="monospace" w:cs="monospace"/>
      <w:sz w:val="20"/>
    </w:rPr>
  </w:style>
  <w:style w:type="character" w:styleId="14">
    <w:name w:val="HTML Acronym"/>
    <w:basedOn w:val="10"/>
    <w:semiHidden/>
    <w:unhideWhenUsed/>
    <w:qFormat/>
    <w:uiPriority w:val="99"/>
  </w:style>
  <w:style w:type="character" w:styleId="15">
    <w:name w:val="HTML Variable"/>
    <w:basedOn w:val="10"/>
    <w:semiHidden/>
    <w:unhideWhenUsed/>
    <w:qFormat/>
    <w:uiPriority w:val="99"/>
  </w:style>
  <w:style w:type="character" w:styleId="16">
    <w:name w:val="Hyperlink"/>
    <w:basedOn w:val="10"/>
    <w:semiHidden/>
    <w:unhideWhenUsed/>
    <w:qFormat/>
    <w:uiPriority w:val="99"/>
    <w:rPr>
      <w:color w:val="0000FF"/>
      <w:u w:val="none"/>
    </w:rPr>
  </w:style>
  <w:style w:type="character" w:styleId="17">
    <w:name w:val="HTML Code"/>
    <w:basedOn w:val="10"/>
    <w:semiHidden/>
    <w:unhideWhenUsed/>
    <w:qFormat/>
    <w:uiPriority w:val="99"/>
    <w:rPr>
      <w:rFonts w:hint="default" w:ascii="monospace" w:hAnsi="monospace" w:eastAsia="monospace" w:cs="monospace"/>
      <w:sz w:val="20"/>
    </w:rPr>
  </w:style>
  <w:style w:type="character" w:styleId="18">
    <w:name w:val="HTML Cite"/>
    <w:basedOn w:val="10"/>
    <w:semiHidden/>
    <w:unhideWhenUsed/>
    <w:qFormat/>
    <w:uiPriority w:val="99"/>
  </w:style>
  <w:style w:type="character" w:styleId="19">
    <w:name w:val="HTML Keyboard"/>
    <w:basedOn w:val="10"/>
    <w:semiHidden/>
    <w:unhideWhenUsed/>
    <w:qFormat/>
    <w:uiPriority w:val="99"/>
    <w:rPr>
      <w:rFonts w:hint="default" w:ascii="monospace" w:hAnsi="monospace" w:eastAsia="monospace" w:cs="monospace"/>
      <w:sz w:val="20"/>
    </w:rPr>
  </w:style>
  <w:style w:type="character" w:styleId="20">
    <w:name w:val="HTML Sample"/>
    <w:basedOn w:val="10"/>
    <w:semiHidden/>
    <w:unhideWhenUsed/>
    <w:qFormat/>
    <w:uiPriority w:val="99"/>
    <w:rPr>
      <w:rFonts w:ascii="monospace" w:hAnsi="monospace" w:eastAsia="monospace" w:cs="monospace"/>
    </w:rPr>
  </w:style>
  <w:style w:type="paragraph" w:customStyle="1" w:styleId="21">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character" w:customStyle="1" w:styleId="22">
    <w:name w:val="页眉 字符"/>
    <w:basedOn w:val="10"/>
    <w:link w:val="7"/>
    <w:qFormat/>
    <w:uiPriority w:val="99"/>
    <w:rPr>
      <w:rFonts w:ascii="Times New Roman" w:hAnsi="Times New Roman" w:eastAsia="Times New Roman" w:cs="Times New Roman"/>
      <w:color w:val="000000"/>
      <w:kern w:val="0"/>
      <w:sz w:val="18"/>
      <w:szCs w:val="18"/>
      <w:u w:color="000000"/>
    </w:rPr>
  </w:style>
  <w:style w:type="character" w:customStyle="1" w:styleId="23">
    <w:name w:val="页脚 字符"/>
    <w:basedOn w:val="10"/>
    <w:link w:val="6"/>
    <w:qFormat/>
    <w:uiPriority w:val="99"/>
    <w:rPr>
      <w:rFonts w:ascii="Times New Roman" w:hAnsi="Times New Roman" w:eastAsia="Times New Roman" w:cs="Times New Roman"/>
      <w:color w:val="000000"/>
      <w:kern w:val="0"/>
      <w:sz w:val="18"/>
      <w:szCs w:val="18"/>
      <w:u w:color="000000"/>
    </w:rPr>
  </w:style>
  <w:style w:type="character" w:customStyle="1" w:styleId="24">
    <w:name w:val="日期 字符"/>
    <w:link w:val="5"/>
    <w:qFormat/>
    <w:uiPriority w:val="99"/>
    <w:rPr>
      <w:rFonts w:ascii="宋体" w:hAnsi="宋体"/>
      <w:color w:val="000000"/>
      <w:sz w:val="24"/>
      <w:szCs w:val="24"/>
      <w:u w:color="000000"/>
    </w:rPr>
  </w:style>
  <w:style w:type="character" w:customStyle="1" w:styleId="25">
    <w:name w:val="日期 字符1"/>
    <w:basedOn w:val="10"/>
    <w:semiHidden/>
    <w:qFormat/>
    <w:uiPriority w:val="99"/>
    <w:rPr>
      <w:rFonts w:ascii="Times New Roman" w:hAnsi="Times New Roman" w:eastAsia="Times New Roman" w:cs="Times New Roman"/>
      <w:color w:val="000000"/>
      <w:kern w:val="0"/>
      <w:sz w:val="24"/>
      <w:szCs w:val="24"/>
      <w:u w:color="000000"/>
    </w:rPr>
  </w:style>
  <w:style w:type="character" w:customStyle="1" w:styleId="26">
    <w:name w:val="hover"/>
    <w:basedOn w:val="10"/>
    <w:qFormat/>
    <w:uiPriority w:val="0"/>
    <w:rPr>
      <w:color w:val="5FB878"/>
    </w:rPr>
  </w:style>
  <w:style w:type="character" w:customStyle="1" w:styleId="27">
    <w:name w:val="hover1"/>
    <w:basedOn w:val="10"/>
    <w:qFormat/>
    <w:uiPriority w:val="0"/>
    <w:rPr>
      <w:color w:val="5FB878"/>
    </w:rPr>
  </w:style>
  <w:style w:type="character" w:customStyle="1" w:styleId="28">
    <w:name w:val="hover2"/>
    <w:basedOn w:val="10"/>
    <w:qFormat/>
    <w:uiPriority w:val="0"/>
    <w:rPr>
      <w:color w:val="FFFFFF"/>
    </w:rPr>
  </w:style>
  <w:style w:type="character" w:customStyle="1" w:styleId="29">
    <w:name w:val="hover3"/>
    <w:basedOn w:val="10"/>
    <w:qFormat/>
    <w:uiPriority w:val="0"/>
    <w:rPr>
      <w:color w:val="FFFFFF"/>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1683</Words>
  <Characters>1893</Characters>
  <Lines>49</Lines>
  <Paragraphs>59</Paragraphs>
  <TotalTime>3</TotalTime>
  <ScaleCrop>false</ScaleCrop>
  <LinksUpToDate>false</LinksUpToDate>
  <CharactersWithSpaces>1912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2020-05-19T06:54:00Z</dcterms:created>
  <dc:creator>pc</dc:creator>
  <cp:lastModifiedBy>冉冉</cp:lastModifiedBy>
  <dcterms:modified xsi:type="dcterms:W3CDTF">2025-12-29T05:42:56Z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3FCF7FF54A8B41DC84048883FB22F26F_13</vt:lpwstr>
  </property>
  <property fmtid="{D5CDD505-2E9C-101B-9397-08002B2CF9AE}" pid="4" name="KSOTemplateDocerSaveRecord">
    <vt:lpwstr>eyJoZGlkIjoiMmYzOWVmZTYwMDcwNDBjOTVjY2ExNTYwYjkzOTBjM2UiLCJ1c2VySWQiOiI2NTI2NzIzMjEifQ==</vt:lpwstr>
  </property>
</Properties>
</file>